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5B" w:rsidRDefault="00C03D87" w:rsidP="00B44991">
      <w:pPr>
        <w:spacing w:line="240" w:lineRule="auto"/>
        <w:ind w:left="11" w:right="-17" w:hanging="11"/>
        <w:jc w:val="center"/>
      </w:pPr>
      <w:r>
        <w:rPr>
          <w:b/>
        </w:rPr>
        <w:t xml:space="preserve">Аннотация дисциплины </w:t>
      </w:r>
    </w:p>
    <w:p w:rsidR="009E765B" w:rsidRDefault="00C03D87" w:rsidP="00B44991">
      <w:pPr>
        <w:spacing w:line="240" w:lineRule="auto"/>
        <w:ind w:left="11" w:right="-17" w:hanging="11"/>
        <w:jc w:val="center"/>
      </w:pPr>
      <w:r>
        <w:rPr>
          <w:b/>
        </w:rPr>
        <w:t xml:space="preserve">«Управление структурой капитала» </w:t>
      </w:r>
    </w:p>
    <w:p w:rsidR="009E765B" w:rsidRPr="00B44991" w:rsidRDefault="00C03D87">
      <w:pPr>
        <w:spacing w:after="303" w:line="307" w:lineRule="auto"/>
        <w:ind w:right="-15"/>
        <w:jc w:val="left"/>
        <w:rPr>
          <w:b/>
        </w:rPr>
      </w:pPr>
      <w:r w:rsidRPr="00B44991">
        <w:rPr>
          <w:b/>
          <w:i/>
        </w:rPr>
        <w:t xml:space="preserve">Цель дисциплины </w:t>
      </w:r>
    </w:p>
    <w:p w:rsidR="009E765B" w:rsidRDefault="00C03D87">
      <w:pPr>
        <w:spacing w:after="252"/>
        <w:ind w:left="-15" w:firstLine="679"/>
      </w:pPr>
      <w:r>
        <w:t xml:space="preserve">Формирование целостной системы знаний, умений и навыков, позволяющих принимать эффективные финансовые решения в процессе управления структурой капитала современных организаций. </w:t>
      </w:r>
    </w:p>
    <w:p w:rsidR="00B44991" w:rsidRPr="00B44991" w:rsidRDefault="00B44991" w:rsidP="00B44991">
      <w:pPr>
        <w:spacing w:line="240" w:lineRule="auto"/>
        <w:ind w:left="0" w:right="-15" w:firstLine="0"/>
        <w:rPr>
          <w:b/>
          <w:i/>
        </w:rPr>
      </w:pPr>
      <w:r w:rsidRPr="00B44991">
        <w:rPr>
          <w:b/>
          <w:i/>
        </w:rPr>
        <w:t xml:space="preserve">Место дисциплины в структуре ОП: </w:t>
      </w:r>
    </w:p>
    <w:p w:rsidR="00B44991" w:rsidRPr="00B44991" w:rsidRDefault="00B44991" w:rsidP="00B44991">
      <w:pPr>
        <w:spacing w:line="240" w:lineRule="auto"/>
        <w:ind w:left="-15" w:firstLine="700"/>
      </w:pPr>
      <w:r w:rsidRPr="00B44991">
        <w:t xml:space="preserve">- факультативная дисциплина для студентов, обучающихся по направлению 38.04.01 «Экономика», магистерская программа «Учет и корпоративные финансы». </w:t>
      </w:r>
    </w:p>
    <w:p w:rsidR="00B44991" w:rsidRDefault="00B44991" w:rsidP="00B44991">
      <w:pPr>
        <w:spacing w:line="240" w:lineRule="auto"/>
        <w:ind w:right="-15"/>
        <w:jc w:val="left"/>
        <w:rPr>
          <w:i/>
        </w:rPr>
      </w:pPr>
    </w:p>
    <w:p w:rsidR="009E765B" w:rsidRPr="00B44991" w:rsidRDefault="00C03D87" w:rsidP="00B44991">
      <w:pPr>
        <w:spacing w:line="240" w:lineRule="auto"/>
        <w:ind w:right="-15"/>
        <w:jc w:val="left"/>
        <w:rPr>
          <w:b/>
        </w:rPr>
      </w:pPr>
      <w:r w:rsidRPr="00B44991">
        <w:rPr>
          <w:b/>
          <w:i/>
        </w:rPr>
        <w:t xml:space="preserve">Краткое содержание </w:t>
      </w:r>
    </w:p>
    <w:p w:rsidR="009E765B" w:rsidRDefault="00C03D87">
      <w:pPr>
        <w:ind w:left="-15" w:firstLine="708"/>
      </w:pPr>
      <w:r>
        <w:t xml:space="preserve">Понятие капитала и его составляющие. </w:t>
      </w:r>
      <w:bookmarkStart w:id="0" w:name="_GoBack"/>
      <w:bookmarkEnd w:id="0"/>
      <w:r>
        <w:t xml:space="preserve">Основные источники финансирования деятельности организации. Бюджетное финансирование, собственное и заемное финансирование. Рациональная политика заимствования средств. Понятие структуры капитала. Взаимосвязь </w:t>
      </w:r>
      <w:r w:rsidR="0093085E">
        <w:t>бизнес риска</w:t>
      </w:r>
      <w:r>
        <w:t xml:space="preserve"> организации, затрат по привлечению капитала и стоимости бизнеса. Базовые модели теории структуры капитала. Классификация моделей структуры капитала. Традиционный подход. Компромиссный подход. Теории Модильяни-Миллера. Модели асимметричной информации. Сигнальные модели. Применение теорий управления структурой капитала в практике российских и иностранных предприятий. Понятие «стоимость источников капитала» организации. Принципы управления стоимостью капитала. Оценка собственных источников капитала организации (обыкновенные и привилегированные акции). Модели оценки собственных источников финансирования: оценки капитальных активов (САРМ), прогнозируемого роста дивидендов (Гордона), прибыли на акцию, премии за риск. Оценка заемных источников капитала организации. Заемный потенциал организации. Критерии выбора оптимальной и целевой структуры капитала. Средневзвешенная (WACC) и предельная (MCC) стоимость капитала. Определение границы эффективности использования дополнительно привлеченного капитала. Эффект финансового рычага. Линия рынка ценных бумаг (SML) и WACC. Коммерческий риск, финансовый риск и выбор структуры капитала организации. Факторы, влияющие на выбор источников финансирования при определении оптимальной структуры капитала. Взаимосвязь структуры капитала и дивидендной политики корпорации. </w:t>
      </w:r>
    </w:p>
    <w:p w:rsidR="009E765B" w:rsidRDefault="00C03D87">
      <w:r>
        <w:t xml:space="preserve">Структура капитала организации и ценностно-ориентированное управление (VBM). Понятие «стоимость бизнеса» как целевой функции финансового менеджмента. Факторы, определяющие стоимость бизнеса. Влияние изменения в структуре капитала на показатели добавленной акционерной стоимости (SVA), рыночной добавленной стоимости (MVA), экономической добавленной стоимости (EVA), доходности инвестиций на основе денежного потока (CFROI), ожидаемой рентабельности инвестированного капитала (EROIC). </w:t>
      </w:r>
    </w:p>
    <w:sectPr w:rsidR="009E765B" w:rsidSect="0093085E">
      <w:pgSz w:w="11906" w:h="16838"/>
      <w:pgMar w:top="1077" w:right="845" w:bottom="96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5B"/>
    <w:rsid w:val="00294C42"/>
    <w:rsid w:val="0088740D"/>
    <w:rsid w:val="0093085E"/>
    <w:rsid w:val="009E765B"/>
    <w:rsid w:val="00B44991"/>
    <w:rsid w:val="00C0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3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3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92AA1-584F-4FC3-8B14-3CF8ACA03116}"/>
</file>

<file path=customXml/itemProps2.xml><?xml version="1.0" encoding="utf-8"?>
<ds:datastoreItem xmlns:ds="http://schemas.openxmlformats.org/officeDocument/2006/customXml" ds:itemID="{DC8F83D7-4A8D-461F-9CE6-04E43C5D3D94}"/>
</file>

<file path=customXml/itemProps3.xml><?xml version="1.0" encoding="utf-8"?>
<ds:datastoreItem xmlns:ds="http://schemas.openxmlformats.org/officeDocument/2006/customXml" ds:itemID="{105E5FB6-278E-42C1-BFEF-F04145C12F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Женечка</cp:lastModifiedBy>
  <cp:revision>6</cp:revision>
  <dcterms:created xsi:type="dcterms:W3CDTF">2018-10-18T12:05:00Z</dcterms:created>
  <dcterms:modified xsi:type="dcterms:W3CDTF">2020-03-03T20:29:00Z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